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0" w:leftChars="0" w:right="-11" w:rightChars="0" w:firstLine="0" w:firstLineChars="0"/>
        <w:jc w:val="center"/>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eastAsia="zh-CN"/>
        </w:rPr>
        <w:t>内蒙古电力(集团）有限责任公司巴彦淖尔供电分公司2023年批次外第</w:t>
      </w:r>
      <w:r>
        <w:rPr>
          <w:rFonts w:hint="eastAsia" w:ascii="仿宋_GB2312" w:hAnsi="仿宋_GB2312" w:eastAsia="仿宋_GB2312" w:cs="仿宋_GB2312"/>
          <w:b/>
          <w:sz w:val="32"/>
          <w:szCs w:val="32"/>
          <w:highlight w:val="none"/>
          <w:lang w:val="en-US" w:eastAsia="zh-CN"/>
        </w:rPr>
        <w:t>17</w:t>
      </w:r>
      <w:r>
        <w:rPr>
          <w:rFonts w:hint="eastAsia" w:ascii="仿宋_GB2312" w:hAnsi="仿宋_GB2312" w:eastAsia="仿宋_GB2312" w:cs="仿宋_GB2312"/>
          <w:b/>
          <w:sz w:val="32"/>
          <w:szCs w:val="32"/>
          <w:highlight w:val="none"/>
          <w:lang w:eastAsia="zh-CN"/>
        </w:rPr>
        <w:t>次招标</w:t>
      </w:r>
      <w:r>
        <w:rPr>
          <w:rFonts w:hint="eastAsia" w:ascii="仿宋_GB2312" w:hAnsi="仿宋_GB2312" w:eastAsia="仿宋_GB2312" w:cs="仿宋_GB2312"/>
          <w:b/>
          <w:sz w:val="32"/>
          <w:szCs w:val="32"/>
          <w:highlight w:val="none"/>
          <w:lang w:val="en-US" w:eastAsia="zh-CN"/>
        </w:rPr>
        <w:t>采购</w:t>
      </w:r>
      <w:r>
        <w:rPr>
          <w:rFonts w:hint="eastAsia" w:ascii="仿宋_GB2312" w:hAnsi="仿宋_GB2312" w:eastAsia="仿宋_GB2312" w:cs="仿宋_GB2312"/>
          <w:b/>
          <w:sz w:val="32"/>
          <w:szCs w:val="32"/>
          <w:highlight w:val="none"/>
        </w:rPr>
        <w:t>招标公告</w:t>
      </w:r>
    </w:p>
    <w:p>
      <w:pPr>
        <w:widowControl w:val="0"/>
        <w:spacing w:after="0" w:line="520" w:lineRule="exact"/>
        <w:jc w:val="center"/>
        <w:rPr>
          <w:rFonts w:hint="default" w:ascii="仿宋" w:hAnsi="仿宋" w:eastAsia="仿宋" w:cs="仿宋"/>
          <w:b/>
          <w:sz w:val="24"/>
          <w:highlight w:val="none"/>
          <w:lang w:val="en-US" w:eastAsia="zh-CN"/>
        </w:rPr>
      </w:pPr>
      <w:bookmarkStart w:id="0" w:name="_Toc1489"/>
      <w:bookmarkStart w:id="1" w:name="_Toc495644242"/>
      <w:r>
        <w:rPr>
          <w:rFonts w:hint="eastAsia" w:ascii="仿宋" w:hAnsi="仿宋" w:eastAsia="仿宋" w:cs="仿宋"/>
          <w:b/>
          <w:sz w:val="24"/>
          <w:highlight w:val="none"/>
        </w:rPr>
        <w:t>招标编号:BDPY2023—</w:t>
      </w:r>
      <w:r>
        <w:rPr>
          <w:rFonts w:hint="eastAsia" w:ascii="仿宋" w:hAnsi="仿宋" w:eastAsia="仿宋" w:cs="仿宋"/>
          <w:b/>
          <w:sz w:val="24"/>
          <w:highlight w:val="none"/>
          <w:lang w:val="en-US" w:eastAsia="zh-CN"/>
        </w:rPr>
        <w:t>17</w:t>
      </w:r>
    </w:p>
    <w:p>
      <w:pPr>
        <w:pStyle w:val="3"/>
        <w:spacing w:after="0" w:line="520" w:lineRule="exact"/>
        <w:ind w:left="-5" w:right="-198" w:rightChars="-90"/>
        <w:rPr>
          <w:rFonts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1. 招标条件</w:t>
      </w:r>
      <w:bookmarkEnd w:id="0"/>
      <w:bookmarkEnd w:id="1"/>
      <w:r>
        <w:rPr>
          <w:rFonts w:hint="eastAsia" w:ascii="仿宋_GB2312" w:hAnsi="仿宋_GB2312" w:eastAsia="仿宋_GB2312" w:cs="仿宋_GB2312"/>
          <w:b/>
          <w:sz w:val="24"/>
          <w:szCs w:val="24"/>
          <w:highlight w:val="none"/>
        </w:rPr>
        <w:t xml:space="preserve"> </w:t>
      </w:r>
    </w:p>
    <w:p>
      <w:pPr>
        <w:spacing w:after="0" w:line="520" w:lineRule="exact"/>
        <w:ind w:left="-15" w:right="-198" w:rightChars="-90" w:firstLine="420"/>
        <w:rPr>
          <w:rFonts w:ascii="仿宋_GB2312" w:hAnsi="仿宋_GB2312" w:eastAsia="仿宋_GB2312" w:cs="仿宋_GB2312"/>
          <w:b/>
          <w:sz w:val="24"/>
          <w:szCs w:val="24"/>
          <w:highlight w:val="none"/>
          <w:u w:val="single"/>
        </w:rPr>
      </w:pPr>
      <w:r>
        <w:rPr>
          <w:rFonts w:hint="eastAsia" w:ascii="仿宋" w:hAnsi="仿宋" w:eastAsia="仿宋" w:cs="仿宋_GB2312"/>
          <w:sz w:val="24"/>
          <w:szCs w:val="24"/>
          <w:highlight w:val="none"/>
        </w:rPr>
        <w:t>本招标项目</w:t>
      </w:r>
      <w:r>
        <w:rPr>
          <w:rFonts w:hint="eastAsia" w:ascii="仿宋" w:hAnsi="仿宋" w:eastAsia="仿宋" w:cs="仿宋_GB2312"/>
          <w:sz w:val="24"/>
          <w:szCs w:val="24"/>
          <w:highlight w:val="none"/>
          <w:u w:val="single"/>
        </w:rPr>
        <w:t>内蒙古电力（集团）有限责任公司巴彦淖尔供电分公司2023年批次外第</w:t>
      </w:r>
      <w:r>
        <w:rPr>
          <w:rFonts w:hint="eastAsia" w:ascii="仿宋" w:hAnsi="仿宋" w:eastAsia="仿宋" w:cs="仿宋_GB2312"/>
          <w:sz w:val="24"/>
          <w:szCs w:val="24"/>
          <w:highlight w:val="none"/>
          <w:u w:val="single"/>
          <w:lang w:val="en-US" w:eastAsia="zh-CN"/>
        </w:rPr>
        <w:t>17</w:t>
      </w:r>
      <w:r>
        <w:rPr>
          <w:rFonts w:hint="eastAsia" w:ascii="仿宋" w:hAnsi="仿宋" w:eastAsia="仿宋" w:cs="仿宋_GB2312"/>
          <w:sz w:val="24"/>
          <w:szCs w:val="24"/>
          <w:highlight w:val="none"/>
          <w:u w:val="single"/>
        </w:rPr>
        <w:t>次招标</w:t>
      </w:r>
      <w:r>
        <w:rPr>
          <w:rFonts w:hint="eastAsia" w:ascii="仿宋" w:hAnsi="仿宋" w:eastAsia="仿宋" w:cs="仿宋_GB2312"/>
          <w:sz w:val="24"/>
          <w:szCs w:val="24"/>
          <w:highlight w:val="none"/>
          <w:u w:val="single"/>
          <w:lang w:val="en-US" w:eastAsia="zh-CN"/>
        </w:rPr>
        <w:t>采购</w:t>
      </w:r>
      <w:r>
        <w:rPr>
          <w:rFonts w:hint="eastAsia" w:ascii="仿宋_GB2312" w:hAnsi="仿宋_GB2312" w:eastAsia="仿宋_GB2312" w:cs="仿宋_GB2312"/>
          <w:sz w:val="24"/>
          <w:szCs w:val="24"/>
          <w:highlight w:val="none"/>
        </w:rPr>
        <w:t>招标人为</w:t>
      </w:r>
      <w:r>
        <w:rPr>
          <w:rFonts w:hint="eastAsia" w:ascii="仿宋_GB2312" w:hAnsi="仿宋_GB2312" w:eastAsia="仿宋_GB2312" w:cs="仿宋_GB2312"/>
          <w:sz w:val="24"/>
          <w:szCs w:val="24"/>
          <w:highlight w:val="none"/>
          <w:u w:val="single" w:color="000000"/>
        </w:rPr>
        <w:t>内蒙古电力（集团）有限责任公司巴彦淖尔供电分公司</w:t>
      </w:r>
      <w:r>
        <w:rPr>
          <w:rFonts w:hint="eastAsia" w:ascii="仿宋_GB2312" w:hAnsi="仿宋_GB2312" w:eastAsia="仿宋_GB2312" w:cs="仿宋_GB2312"/>
          <w:sz w:val="24"/>
          <w:szCs w:val="24"/>
          <w:highlight w:val="none"/>
        </w:rPr>
        <w:t>，招标项目资金来源为自有资金，出资比例100%。该项目已具备招标条件，现对该项目进行公开招标。</w:t>
      </w:r>
    </w:p>
    <w:p>
      <w:pPr>
        <w:pStyle w:val="3"/>
        <w:spacing w:after="0" w:line="520" w:lineRule="exact"/>
        <w:ind w:left="0" w:right="-198" w:rightChars="-90" w:firstLine="0"/>
        <w:rPr>
          <w:rFonts w:ascii="仿宋_GB2312" w:hAnsi="仿宋_GB2312" w:eastAsia="仿宋_GB2312" w:cs="仿宋_GB2312"/>
          <w:b/>
          <w:sz w:val="24"/>
          <w:szCs w:val="24"/>
          <w:highlight w:val="none"/>
        </w:rPr>
      </w:pPr>
      <w:bookmarkStart w:id="2" w:name="_Toc13446"/>
      <w:bookmarkStart w:id="3" w:name="_Toc495644243"/>
      <w:r>
        <w:rPr>
          <w:rFonts w:hint="eastAsia" w:ascii="仿宋_GB2312" w:hAnsi="仿宋_GB2312" w:eastAsia="仿宋_GB2312" w:cs="仿宋_GB2312"/>
          <w:b/>
          <w:sz w:val="24"/>
          <w:szCs w:val="24"/>
          <w:highlight w:val="none"/>
        </w:rPr>
        <w:t>2. 项目概况与招标范围</w:t>
      </w:r>
      <w:bookmarkEnd w:id="2"/>
      <w:bookmarkEnd w:id="3"/>
      <w:r>
        <w:rPr>
          <w:rFonts w:hint="eastAsia" w:ascii="仿宋_GB2312" w:hAnsi="仿宋_GB2312" w:eastAsia="仿宋_GB2312" w:cs="仿宋_GB2312"/>
          <w:b/>
          <w:sz w:val="24"/>
          <w:szCs w:val="24"/>
          <w:highlight w:val="none"/>
        </w:rPr>
        <w:t xml:space="preserve"> </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2.1招标项目名称：</w:t>
      </w:r>
      <w:r>
        <w:rPr>
          <w:rFonts w:hint="eastAsia" w:ascii="仿宋_GB2312" w:hAnsi="仿宋_GB2312" w:eastAsia="仿宋_GB2312" w:cs="仿宋_GB2312"/>
          <w:color w:val="auto"/>
          <w:sz w:val="24"/>
          <w:szCs w:val="24"/>
          <w:highlight w:val="none"/>
        </w:rPr>
        <w:t>内蒙古电力（集团）有限责任公司巴彦淖尔供电分公司2023年批次外第</w:t>
      </w:r>
      <w:r>
        <w:rPr>
          <w:rFonts w:hint="eastAsia" w:ascii="仿宋_GB2312" w:hAnsi="仿宋_GB2312" w:eastAsia="仿宋_GB2312" w:cs="仿宋_GB2312"/>
          <w:color w:val="auto"/>
          <w:sz w:val="24"/>
          <w:szCs w:val="24"/>
          <w:highlight w:val="none"/>
          <w:lang w:val="en-US" w:eastAsia="zh-CN"/>
        </w:rPr>
        <w:t>17</w:t>
      </w:r>
      <w:r>
        <w:rPr>
          <w:rFonts w:hint="eastAsia" w:ascii="仿宋_GB2312" w:hAnsi="仿宋_GB2312" w:eastAsia="仿宋_GB2312" w:cs="仿宋_GB2312"/>
          <w:color w:val="auto"/>
          <w:sz w:val="24"/>
          <w:szCs w:val="24"/>
          <w:highlight w:val="none"/>
        </w:rPr>
        <w:t>次招标</w:t>
      </w:r>
      <w:r>
        <w:rPr>
          <w:rFonts w:hint="eastAsia" w:ascii="仿宋_GB2312" w:hAnsi="仿宋_GB2312" w:eastAsia="仿宋_GB2312" w:cs="仿宋_GB2312"/>
          <w:color w:val="auto"/>
          <w:sz w:val="24"/>
          <w:szCs w:val="24"/>
          <w:highlight w:val="none"/>
          <w:lang w:val="en-US" w:eastAsia="zh-CN"/>
        </w:rPr>
        <w:t>采购</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2.2本次招标内容:</w:t>
      </w:r>
      <w:r>
        <w:rPr>
          <w:rFonts w:hint="eastAsia" w:ascii="仿宋" w:hAnsi="仿宋" w:eastAsia="仿宋" w:cs="仿宋_GB2312"/>
          <w:sz w:val="24"/>
          <w:szCs w:val="24"/>
          <w:highlight w:val="none"/>
        </w:rPr>
        <w:t>见附件</w:t>
      </w:r>
      <w:r>
        <w:rPr>
          <w:rFonts w:hint="eastAsia" w:ascii="仿宋" w:hAnsi="仿宋" w:eastAsia="仿宋" w:cs="宋体"/>
          <w:sz w:val="24"/>
          <w:szCs w:val="24"/>
          <w:highlight w:val="none"/>
        </w:rPr>
        <w:t>（具体内容详见招标公告附件）</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2.3 标段划分：</w:t>
      </w:r>
      <w:r>
        <w:rPr>
          <w:rFonts w:hint="eastAsia" w:ascii="仿宋_GB2312" w:hAnsi="仿宋_GB2312" w:eastAsia="仿宋_GB2312" w:cs="仿宋_GB2312"/>
          <w:color w:val="000000" w:themeColor="text1"/>
          <w:sz w:val="24"/>
          <w:szCs w:val="24"/>
          <w14:textFill>
            <w14:solidFill>
              <w14:schemeClr w14:val="tx1"/>
            </w14:solidFill>
          </w14:textFill>
        </w:rPr>
        <w:t>详见</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招标</w:t>
      </w:r>
      <w:r>
        <w:rPr>
          <w:rFonts w:hint="eastAsia" w:ascii="仿宋_GB2312" w:hAnsi="仿宋_GB2312" w:eastAsia="仿宋_GB2312" w:cs="仿宋_GB2312"/>
          <w:color w:val="000000" w:themeColor="text1"/>
          <w:sz w:val="24"/>
          <w:szCs w:val="24"/>
          <w14:textFill>
            <w14:solidFill>
              <w14:schemeClr w14:val="tx1"/>
            </w14:solidFill>
          </w14:textFill>
        </w:rPr>
        <w:t>采购明细表</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red"/>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2.4 资金来源：自有资金</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2.5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服务期</w:t>
      </w:r>
      <w:r>
        <w:rPr>
          <w:rFonts w:hint="eastAsia" w:ascii="仿宋_GB2312" w:hAnsi="仿宋_GB2312" w:eastAsia="仿宋_GB2312" w:cs="仿宋_GB2312"/>
          <w:color w:val="000000" w:themeColor="text1"/>
          <w:sz w:val="24"/>
          <w:szCs w:val="24"/>
          <w14:textFill>
            <w14:solidFill>
              <w14:schemeClr w14:val="tx1"/>
            </w14:solidFill>
          </w14:textFill>
        </w:rPr>
        <w:t>：自合同签订之日起1年</w:t>
      </w:r>
    </w:p>
    <w:p>
      <w:pPr>
        <w:spacing w:after="0" w:line="520" w:lineRule="exact"/>
        <w:ind w:left="-15" w:leftChars="-7" w:right="-198" w:rightChars="-90" w:firstLine="420" w:firstLineChars="175"/>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地点：</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招标人指定地点</w:t>
      </w:r>
    </w:p>
    <w:p>
      <w:pPr>
        <w:pStyle w:val="3"/>
        <w:spacing w:after="0" w:line="520" w:lineRule="exact"/>
        <w:ind w:left="-5" w:right="-198" w:rightChars="-90"/>
        <w:rPr>
          <w:rFonts w:ascii="仿宋_GB2312" w:hAnsi="仿宋_GB2312" w:eastAsia="仿宋_GB2312" w:cs="仿宋_GB2312"/>
          <w:b/>
          <w:sz w:val="24"/>
          <w:szCs w:val="24"/>
        </w:rPr>
      </w:pPr>
      <w:bookmarkStart w:id="4" w:name="_Toc495644244"/>
      <w:bookmarkStart w:id="5" w:name="_Toc529"/>
      <w:r>
        <w:rPr>
          <w:rFonts w:hint="eastAsia" w:ascii="仿宋_GB2312" w:hAnsi="仿宋_GB2312" w:eastAsia="仿宋_GB2312" w:cs="仿宋_GB2312"/>
          <w:b/>
          <w:sz w:val="24"/>
          <w:szCs w:val="24"/>
        </w:rPr>
        <w:t>3. 投标人资格要求</w:t>
      </w:r>
      <w:bookmarkEnd w:id="4"/>
      <w:bookmarkEnd w:id="5"/>
      <w:r>
        <w:rPr>
          <w:rFonts w:hint="eastAsia" w:ascii="仿宋_GB2312" w:hAnsi="仿宋_GB2312" w:eastAsia="仿宋_GB2312" w:cs="仿宋_GB2312"/>
          <w:b/>
          <w:sz w:val="24"/>
          <w:szCs w:val="24"/>
        </w:rPr>
        <w:t xml:space="preserve"> </w:t>
      </w:r>
    </w:p>
    <w:p>
      <w:pPr>
        <w:pStyle w:val="4"/>
        <w:shd w:val="clear" w:color="auto" w:fill="FFFFFF"/>
        <w:spacing w:before="0" w:beforeAutospacing="0" w:after="0" w:afterAutospacing="0" w:line="520" w:lineRule="exact"/>
        <w:ind w:right="-198" w:rightChars="-90" w:firstLine="424" w:firstLineChars="176"/>
        <w:rPr>
          <w:rFonts w:ascii="仿宋_GB2312" w:hAnsi="仿宋_GB2312" w:eastAsia="仿宋_GB2312" w:cs="仿宋_GB2312"/>
          <w:b/>
          <w:kern w:val="2"/>
          <w:szCs w:val="24"/>
        </w:rPr>
      </w:pPr>
      <w:r>
        <w:rPr>
          <w:rFonts w:hint="eastAsia" w:ascii="仿宋_GB2312" w:hAnsi="仿宋_GB2312" w:eastAsia="仿宋_GB2312" w:cs="仿宋_GB2312"/>
          <w:b/>
          <w:kern w:val="2"/>
          <w:szCs w:val="24"/>
        </w:rPr>
        <w:t>3.1通用资格要求</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3.1.1须为中华人民共和国境内依法注册的企业法人或其他组织,具有有效的营业执照，有良好的财务状况和商业信用，具有一般纳税人资格，本项目在企业经营范围内。企业如有信息变更，需有工商局变更说明；</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3.1.2</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未被“中国执行信息公开网（http://zxgk.court.gov.cn/shixin/）”列入失信被执行人名单中；</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3.1.3投标人及其</w:t>
      </w:r>
      <w:r>
        <w:rPr>
          <w:rFonts w:hint="eastAsia" w:ascii="仿宋" w:hAnsi="仿宋" w:eastAsia="仿宋" w:cs="仿宋_GB2312"/>
          <w:sz w:val="24"/>
          <w:szCs w:val="24"/>
          <w:lang w:val="en-US" w:eastAsia="zh-CN"/>
        </w:rPr>
        <w:t>法定代表人</w:t>
      </w:r>
      <w:r>
        <w:rPr>
          <w:rFonts w:hint="eastAsia" w:ascii="仿宋" w:hAnsi="仿宋" w:eastAsia="仿宋" w:cs="仿宋_GB2312"/>
          <w:sz w:val="24"/>
          <w:szCs w:val="24"/>
        </w:rPr>
        <w:t>在中国裁判文书网（http://wenshu.court.gov.cn/）查询显示近一年没有行贿犯罪记录；</w:t>
      </w:r>
      <w:bookmarkStart w:id="15" w:name="_GoBack"/>
      <w:bookmarkEnd w:id="15"/>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3.1.4投标人未被工商行政管理机关在全国企业信用信息公示系统（www.gsxt.gov.cn）中列入</w:t>
      </w:r>
      <w:r>
        <w:rPr>
          <w:rFonts w:hint="eastAsia" w:ascii="仿宋_GB2312" w:hAnsi="仿宋_GB2312" w:eastAsia="仿宋_GB2312" w:cs="仿宋_GB2312"/>
          <w:color w:val="auto"/>
          <w:sz w:val="24"/>
          <w:szCs w:val="24"/>
        </w:rPr>
        <w:t>企业经营异常名录和</w:t>
      </w:r>
      <w:r>
        <w:rPr>
          <w:rFonts w:hint="eastAsia" w:ascii="仿宋" w:hAnsi="仿宋" w:eastAsia="仿宋" w:cs="仿宋_GB2312"/>
          <w:sz w:val="24"/>
          <w:szCs w:val="24"/>
        </w:rPr>
        <w:t>严重违法失信企业名单；</w:t>
      </w:r>
    </w:p>
    <w:p>
      <w:pPr>
        <w:shd w:val="clear" w:color="auto" w:fill="FFFFFF"/>
        <w:spacing w:line="520" w:lineRule="exact"/>
        <w:ind w:firstLine="480" w:firstLineChars="200"/>
        <w:jc w:val="both"/>
        <w:rPr>
          <w:rFonts w:ascii="仿宋" w:hAnsi="仿宋" w:eastAsia="仿宋" w:cs="仿宋_GB2312"/>
          <w:sz w:val="24"/>
          <w:szCs w:val="24"/>
        </w:rPr>
      </w:pPr>
      <w:r>
        <w:rPr>
          <w:rFonts w:hint="eastAsia" w:ascii="仿宋" w:hAnsi="仿宋" w:eastAsia="仿宋" w:cs="仿宋_GB2312"/>
          <w:sz w:val="24"/>
          <w:szCs w:val="24"/>
        </w:rPr>
        <w:t>3.1.5法定代表人为同一个人的两个及两个以上法人，母公司、全资子公司及其控股公司，只能有一家参加投标,且母子关系之间不得相互借用任何资质；</w:t>
      </w:r>
    </w:p>
    <w:p>
      <w:pPr>
        <w:spacing w:after="0" w:line="360" w:lineRule="auto"/>
        <w:ind w:firstLine="480" w:firstLineChars="200"/>
        <w:rPr>
          <w:rFonts w:hint="eastAsia" w:ascii="仿宋" w:hAnsi="仿宋" w:eastAsia="仿宋" w:cs="仿宋_GB2312"/>
          <w:sz w:val="24"/>
          <w:szCs w:val="24"/>
          <w:lang w:eastAsia="zh-CN"/>
        </w:rPr>
      </w:pPr>
      <w:r>
        <w:rPr>
          <w:rFonts w:hint="eastAsia" w:ascii="仿宋" w:hAnsi="仿宋" w:eastAsia="仿宋" w:cs="仿宋_GB2312"/>
          <w:sz w:val="24"/>
          <w:szCs w:val="24"/>
        </w:rPr>
        <w:t>3.1.6在近三年（2020年起）内无骗取中标或严重违约或重大质量问题；</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未被列入最新发布的《内蒙古电力（集团）有限责任公司不良行为供应商名单》和中国电力企业联合会最新公布的“中电联关于公布涉电力领域重点关注对象名单”</w:t>
      </w:r>
      <w:r>
        <w:rPr>
          <w:rFonts w:hint="eastAsia" w:ascii="仿宋" w:hAnsi="仿宋" w:eastAsia="仿宋" w:cs="仿宋_GB2312"/>
          <w:sz w:val="24"/>
          <w:szCs w:val="24"/>
          <w:lang w:eastAsia="zh-CN"/>
        </w:rPr>
        <w:t>；</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3.1.7</w:t>
      </w:r>
      <w:r>
        <w:rPr>
          <w:rFonts w:hint="eastAsia" w:ascii="仿宋" w:hAnsi="仿宋" w:eastAsia="仿宋" w:cs="仿宋_GB2312"/>
          <w:b w:val="0"/>
          <w:bCs w:val="0"/>
          <w:sz w:val="24"/>
          <w:szCs w:val="24"/>
        </w:rPr>
        <w:t>本次招标接受联合体投标</w:t>
      </w:r>
      <w:r>
        <w:rPr>
          <w:rFonts w:hint="eastAsia" w:ascii="仿宋" w:hAnsi="仿宋" w:eastAsia="仿宋" w:cs="仿宋_GB2312"/>
          <w:sz w:val="24"/>
          <w:szCs w:val="24"/>
        </w:rPr>
        <w:t>。</w:t>
      </w:r>
    </w:p>
    <w:p>
      <w:pPr>
        <w:pStyle w:val="4"/>
        <w:shd w:val="clear" w:color="auto" w:fill="FFFFFF"/>
        <w:spacing w:before="0" w:beforeAutospacing="0" w:after="0" w:afterAutospacing="0" w:line="520" w:lineRule="exact"/>
        <w:ind w:right="-198" w:rightChars="-90" w:firstLine="426" w:firstLineChars="177"/>
        <w:rPr>
          <w:rFonts w:ascii="仿宋_GB2312" w:hAnsi="仿宋_GB2312" w:eastAsia="仿宋_GB2312" w:cs="仿宋_GB2312"/>
          <w:b/>
          <w:kern w:val="2"/>
          <w:szCs w:val="24"/>
        </w:rPr>
      </w:pPr>
      <w:r>
        <w:rPr>
          <w:rFonts w:hint="eastAsia" w:ascii="仿宋_GB2312" w:hAnsi="仿宋_GB2312" w:eastAsia="仿宋_GB2312" w:cs="仿宋_GB2312"/>
          <w:b/>
          <w:kern w:val="2"/>
          <w:szCs w:val="24"/>
        </w:rPr>
        <w:t>3.2专用资格要求：</w:t>
      </w:r>
    </w:p>
    <w:p>
      <w:pPr>
        <w:pStyle w:val="4"/>
        <w:shd w:val="clear" w:color="auto" w:fill="FFFFFF"/>
        <w:spacing w:before="0" w:beforeAutospacing="0" w:after="0" w:afterAutospacing="0" w:line="520" w:lineRule="exact"/>
        <w:ind w:right="-198" w:rightChars="-90" w:firstLine="424" w:firstLineChars="177"/>
        <w:rPr>
          <w:rFonts w:ascii="仿宋_GB2312" w:hAnsi="仿宋_GB2312" w:eastAsia="仿宋_GB2312" w:cs="仿宋_GB2312"/>
          <w:bCs/>
          <w:color w:val="auto"/>
          <w:kern w:val="2"/>
          <w:szCs w:val="24"/>
        </w:rPr>
      </w:pPr>
      <w:r>
        <w:rPr>
          <w:rFonts w:hint="eastAsia" w:ascii="仿宋_GB2312" w:hAnsi="仿宋_GB2312" w:eastAsia="仿宋_GB2312" w:cs="仿宋_GB2312"/>
          <w:bCs/>
          <w:color w:val="auto"/>
          <w:kern w:val="2"/>
          <w:szCs w:val="24"/>
        </w:rPr>
        <w:t>详见招标公告附件</w:t>
      </w:r>
    </w:p>
    <w:p>
      <w:pPr>
        <w:pStyle w:val="4"/>
        <w:shd w:val="clear" w:color="auto" w:fill="FFFFFF"/>
        <w:spacing w:before="0" w:beforeAutospacing="0" w:after="0" w:afterAutospacing="0" w:line="520" w:lineRule="exact"/>
        <w:ind w:right="-198"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4.招标文件的获取</w:t>
      </w:r>
    </w:p>
    <w:p>
      <w:pPr>
        <w:spacing w:line="520" w:lineRule="exact"/>
        <w:ind w:right="-57" w:rightChars="-26" w:firstLine="480" w:firstLineChars="200"/>
        <w:rPr>
          <w:rFonts w:ascii="仿宋_GB2312" w:hAnsi="仿宋_GB2312" w:eastAsia="仿宋_GB2312" w:cs="仿宋_GB2312"/>
          <w:sz w:val="24"/>
          <w:szCs w:val="24"/>
        </w:rPr>
      </w:pPr>
      <w:bookmarkStart w:id="6" w:name="_Toc495644245"/>
      <w:r>
        <w:rPr>
          <w:rFonts w:hint="eastAsia" w:ascii="仿宋" w:hAnsi="仿宋" w:eastAsia="仿宋" w:cs="仿宋_GB2312"/>
          <w:sz w:val="24"/>
          <w:szCs w:val="24"/>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4.1本项目实行在线报名、线上下载招标文件，招标文件不收取费用。</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凡有意参加投标者，请</w:t>
      </w:r>
      <w:r>
        <w:rPr>
          <w:rFonts w:hint="eastAsia" w:ascii="仿宋_GB2312" w:hAnsi="仿宋_GB2312" w:eastAsia="仿宋_GB2312" w:cs="仿宋_GB2312"/>
          <w:bCs/>
          <w:color w:val="auto"/>
          <w:sz w:val="24"/>
          <w:szCs w:val="24"/>
        </w:rPr>
        <w:t>于202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12</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29</w:t>
      </w:r>
      <w:r>
        <w:rPr>
          <w:rFonts w:hint="eastAsia" w:ascii="仿宋_GB2312" w:hAnsi="仿宋_GB2312" w:eastAsia="仿宋_GB2312" w:cs="仿宋_GB2312"/>
          <w:bCs/>
          <w:color w:val="auto"/>
          <w:sz w:val="24"/>
          <w:szCs w:val="24"/>
        </w:rPr>
        <w:t>日至202</w:t>
      </w:r>
      <w:r>
        <w:rPr>
          <w:rFonts w:hint="eastAsia" w:ascii="仿宋_GB2312" w:hAnsi="仿宋_GB2312" w:eastAsia="仿宋_GB2312" w:cs="仿宋_GB2312"/>
          <w:bCs/>
          <w:color w:val="auto"/>
          <w:sz w:val="24"/>
          <w:szCs w:val="24"/>
          <w:lang w:val="en-US" w:eastAsia="zh-CN"/>
        </w:rPr>
        <w:t>4</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5</w:t>
      </w:r>
      <w:r>
        <w:rPr>
          <w:rFonts w:hint="eastAsia" w:ascii="仿宋_GB2312" w:hAnsi="仿宋_GB2312" w:eastAsia="仿宋_GB2312" w:cs="仿宋_GB2312"/>
          <w:bCs/>
          <w:color w:val="auto"/>
          <w:sz w:val="24"/>
          <w:szCs w:val="24"/>
        </w:rPr>
        <w:t>日17:00，</w:t>
      </w:r>
      <w:r>
        <w:rPr>
          <w:rFonts w:hint="eastAsia" w:ascii="仿宋_GB2312" w:hAnsi="仿宋_GB2312" w:eastAsia="仿宋_GB2312" w:cs="仿宋_GB2312"/>
          <w:bCs/>
          <w:sz w:val="24"/>
          <w:szCs w:val="24"/>
        </w:rPr>
        <w:t>进入</w:t>
      </w:r>
      <w:r>
        <w:rPr>
          <w:rFonts w:hint="eastAsia" w:ascii="仿宋_GB2312" w:hAnsi="仿宋_GB2312" w:eastAsia="仿宋_GB2312" w:cs="仿宋_GB2312"/>
          <w:bCs/>
          <w:color w:val="auto"/>
          <w:sz w:val="24"/>
          <w:szCs w:val="24"/>
        </w:rPr>
        <w:t>《内蒙古电力集团电子采购系统》（http://guocai-impc.cppchina.cn/）在线报名 ，逾期不予受理。获取采购文件截止时间同投标截止时间</w:t>
      </w:r>
      <w:r>
        <w:rPr>
          <w:rFonts w:hint="eastAsia" w:ascii="仿宋_GB2312" w:hAnsi="仿宋_GB2312" w:eastAsia="仿宋_GB2312" w:cs="仿宋_GB2312"/>
          <w:bCs/>
          <w:sz w:val="24"/>
          <w:szCs w:val="24"/>
        </w:rPr>
        <w:t>。</w:t>
      </w:r>
    </w:p>
    <w:p>
      <w:pPr>
        <w:spacing w:after="0" w:line="520" w:lineRule="exact"/>
        <w:ind w:right="-53" w:rightChars="-24" w:firstLine="424" w:firstLineChars="177"/>
        <w:rPr>
          <w:rFonts w:ascii="仿宋_GB2312" w:hAnsi="仿宋_GB2312" w:eastAsia="仿宋_GB2312" w:cs="仿宋_GB2312"/>
          <w:bCs/>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1</w:t>
      </w:r>
      <w:r>
        <w:rPr>
          <w:rFonts w:hint="eastAsia" w:ascii="仿宋_GB2312" w:hAnsi="仿宋_GB2312" w:eastAsia="仿宋_GB2312" w:cs="仿宋_GB2312"/>
          <w:bCs/>
          <w:sz w:val="24"/>
          <w:szCs w:val="24"/>
        </w:rPr>
        <w:t>）具体流程为：登录平台</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在报名管理界面查看最新招标项目</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提交报名资料，通过资格查验的</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报名后通过</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文件下载</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界面下载</w:t>
      </w:r>
      <w:r>
        <w:rPr>
          <w:rFonts w:hint="eastAsia" w:ascii="仿宋_GB2312" w:hAnsi="仿宋_GB2312" w:eastAsia="仿宋_GB2312" w:cs="仿宋_GB2312"/>
          <w:bCs/>
          <w:sz w:val="24"/>
          <w:szCs w:val="24"/>
          <w:lang w:val="en-US" w:eastAsia="zh-CN"/>
        </w:rPr>
        <w:t>招标</w:t>
      </w:r>
      <w:r>
        <w:rPr>
          <w:rFonts w:hint="eastAsia" w:ascii="仿宋_GB2312" w:hAnsi="仿宋_GB2312" w:eastAsia="仿宋_GB2312" w:cs="仿宋_GB2312"/>
          <w:bCs/>
          <w:sz w:val="24"/>
          <w:szCs w:val="24"/>
        </w:rPr>
        <w:t>文件，平台联系电话：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p>
    <w:p>
      <w:pPr>
        <w:spacing w:after="0" w:line="520" w:lineRule="exact"/>
        <w:ind w:right="-53" w:rightChars="-24" w:firstLine="424" w:firstLineChars="177"/>
        <w:rPr>
          <w:rFonts w:ascii="仿宋_GB2312" w:hAnsi="仿宋" w:eastAsia="仿宋_GB2312" w:cs="仿宋"/>
          <w:color w:val="auto"/>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2</w:t>
      </w:r>
      <w:r>
        <w:rPr>
          <w:rFonts w:hint="eastAsia" w:ascii="仿宋_GB2312" w:hAnsi="仿宋_GB2312" w:eastAsia="仿宋_GB2312" w:cs="仿宋_GB2312"/>
          <w:bCs/>
          <w:sz w:val="24"/>
          <w:szCs w:val="24"/>
        </w:rPr>
        <w:t>）报名单位须凭【中招互连】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办理项目后续电子投标事宜，之前未进行注册【中招互连】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的企业需要下载【中招互连】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，根据提示即可在线办理相关事宜，后续所有流程全部扫码登录，扫码签章，扫码加密，扫码解密。</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注：1、之前使用实体CA的企业可以继续使用，CA证书到期后在进行注册【中招互连】APP。</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2、目前处于CA、扫码交替阶段，投标人需要注意以下事项：</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（1）避免使用CA加密，而使用扫码解密。反之同理。</w:t>
      </w:r>
    </w:p>
    <w:p>
      <w:pPr>
        <w:spacing w:after="0" w:line="520" w:lineRule="exact"/>
        <w:ind w:firstLine="424" w:firstLineChars="177"/>
        <w:jc w:val="both"/>
        <w:rPr>
          <w:rFonts w:ascii="仿宋_GB2312" w:hAnsi="仿宋_GB2312" w:eastAsia="仿宋_GB2312" w:cs="仿宋_GB2312"/>
          <w:bCs/>
          <w:sz w:val="24"/>
          <w:szCs w:val="24"/>
        </w:rPr>
      </w:pPr>
      <w:r>
        <w:rPr>
          <w:rFonts w:hint="eastAsia" w:ascii="仿宋_GB2312" w:hAnsi="仿宋" w:eastAsia="仿宋_GB2312" w:cs="仿宋"/>
          <w:color w:val="auto"/>
          <w:sz w:val="24"/>
          <w:szCs w:val="24"/>
        </w:rPr>
        <w:t>（2）扫码登录，扫码签章，扫码加密，扫码解密，登录APP的手机号必须保持一致。</w:t>
      </w:r>
    </w:p>
    <w:p>
      <w:pPr>
        <w:pStyle w:val="4"/>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bCs/>
          <w:szCs w:val="24"/>
        </w:rPr>
      </w:pPr>
      <w:r>
        <w:rPr>
          <w:rFonts w:hint="eastAsia" w:ascii="仿宋_GB2312" w:hAnsi="仿宋_GB2312" w:eastAsia="仿宋_GB2312" w:cs="仿宋_GB2312"/>
          <w:b/>
          <w:bCs/>
          <w:szCs w:val="24"/>
        </w:rPr>
        <w:t>4.2投标报名资料</w:t>
      </w:r>
    </w:p>
    <w:bookmarkEnd w:id="6"/>
    <w:p>
      <w:pPr>
        <w:pStyle w:val="4"/>
        <w:shd w:val="clear" w:color="auto" w:fill="FFFFFF"/>
        <w:spacing w:before="0" w:beforeAutospacing="0" w:after="0" w:afterAutospacing="0" w:line="520" w:lineRule="exact"/>
        <w:ind w:left="-142" w:right="-198"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（1）报名表（详见附件</w:t>
      </w:r>
      <w:r>
        <w:rPr>
          <w:rFonts w:hint="eastAsia" w:ascii="仿宋_GB2312" w:eastAsia="仿宋_GB2312"/>
          <w:color w:val="auto"/>
          <w:szCs w:val="24"/>
          <w:lang w:val="en-US" w:eastAsia="zh-CN"/>
        </w:rPr>
        <w:t>2</w:t>
      </w:r>
      <w:r>
        <w:rPr>
          <w:rFonts w:hint="eastAsia" w:ascii="仿宋_GB2312" w:eastAsia="仿宋_GB2312"/>
          <w:color w:val="auto"/>
          <w:szCs w:val="24"/>
        </w:rPr>
        <w:t>）；</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（2）法定代表人授权委托书</w:t>
      </w:r>
      <w:r>
        <w:rPr>
          <w:rFonts w:ascii="仿宋_GB2312" w:eastAsia="仿宋_GB2312"/>
          <w:color w:val="auto"/>
          <w:szCs w:val="24"/>
        </w:rPr>
        <w:t>(</w:t>
      </w:r>
      <w:r>
        <w:rPr>
          <w:rFonts w:hint="eastAsia" w:ascii="仿宋_GB2312" w:eastAsia="仿宋_GB2312"/>
          <w:color w:val="auto"/>
          <w:szCs w:val="24"/>
        </w:rPr>
        <w:t>被授权人必须为该项目负责人，并本人办理相关事宜，授权书中必须明确采购项目名称、招标/标段编号及联系方式；详见附件</w:t>
      </w:r>
      <w:r>
        <w:rPr>
          <w:rFonts w:hint="eastAsia" w:ascii="仿宋_GB2312" w:eastAsia="仿宋_GB2312"/>
          <w:color w:val="auto"/>
          <w:szCs w:val="24"/>
          <w:lang w:val="en-US" w:eastAsia="zh-CN"/>
        </w:rPr>
        <w:t>3</w:t>
      </w:r>
      <w:r>
        <w:rPr>
          <w:rFonts w:hint="eastAsia" w:ascii="仿宋_GB2312" w:eastAsia="仿宋_GB2312"/>
          <w:color w:val="auto"/>
          <w:szCs w:val="24"/>
        </w:rPr>
        <w:t xml:space="preserve">）；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（3）统一社会信用代码证（企业营业执照）</w:t>
      </w:r>
      <w:r>
        <w:rPr>
          <w:rFonts w:hint="eastAsia" w:ascii="仿宋_GB2312" w:eastAsia="仿宋_GB2312"/>
          <w:color w:val="auto"/>
          <w:szCs w:val="24"/>
          <w:lang w:eastAsia="zh-CN"/>
        </w:rPr>
        <w:t>，</w:t>
      </w:r>
      <w:r>
        <w:rPr>
          <w:rFonts w:hint="eastAsia" w:ascii="仿宋_GB2312" w:eastAsia="仿宋_GB2312"/>
          <w:color w:val="auto"/>
          <w:szCs w:val="24"/>
        </w:rPr>
        <w:t>企业名称如有变更，需提供有关行政机关提供的变更证明；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（4）提供一般纳税人相关证明材料（提供一般纳税人登记表或税务局相关网站查询截图）；</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（5）“全国企业信用信息公示系统（</w:t>
      </w:r>
      <w:r>
        <w:fldChar w:fldCharType="begin"/>
      </w:r>
      <w:r>
        <w:instrText xml:space="preserve"> HYPERLINK "http://www.gsxt.gov.cn）" </w:instrText>
      </w:r>
      <w:r>
        <w:fldChar w:fldCharType="separate"/>
      </w:r>
      <w:r>
        <w:rPr>
          <w:rFonts w:hint="eastAsia" w:ascii="仿宋_GB2312" w:eastAsia="仿宋_GB2312"/>
          <w:color w:val="auto"/>
          <w:szCs w:val="24"/>
        </w:rPr>
        <w:t>www.gsxt.gov.cn）”中未被列入经营异</w:t>
      </w:r>
      <w:r>
        <w:rPr>
          <w:rFonts w:hint="eastAsia" w:ascii="仿宋_GB2312" w:eastAsia="仿宋_GB2312"/>
          <w:color w:val="auto"/>
          <w:szCs w:val="24"/>
        </w:rPr>
        <w:fldChar w:fldCharType="end"/>
      </w:r>
      <w:r>
        <w:rPr>
          <w:rFonts w:hint="eastAsia" w:ascii="仿宋_GB2312" w:eastAsia="仿宋_GB2312"/>
          <w:color w:val="auto"/>
          <w:szCs w:val="24"/>
        </w:rPr>
        <w:t>常名录及严重违法失信企业名单的查询结果证明；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（6）“中国执行信息公开网（http://zxgk.court.gov.cn/shixin/）”查询显示未被列入失信被执行人名单的查询结果证明（企业名称如有变更，历史名称也需要提供查询结果证明）；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 xml:space="preserve">（7）“中国裁判文书网（http://www.wenshu.court.gov.cn）”查询显示近一年内投标人和其法定代表人无行贿犯罪行为记录的查询结果证明（企业名称如有变更，历史名称也需要提供查询结果证明）；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（8）投标人“专用资格要求”的相应证明材料;</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（9）提供《投标真实性承诺书》，详见附件4;</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（10）</w:t>
      </w:r>
      <w:r>
        <w:rPr>
          <w:rFonts w:hint="eastAsia" w:ascii="仿宋_GB2312" w:eastAsia="仿宋_GB2312"/>
          <w:color w:val="auto"/>
          <w:szCs w:val="24"/>
          <w:lang w:val="en-US" w:eastAsia="zh-CN"/>
        </w:rPr>
        <w:t>投标人</w:t>
      </w:r>
      <w:r>
        <w:rPr>
          <w:rFonts w:hint="eastAsia" w:ascii="仿宋_GB2312" w:eastAsia="仿宋_GB2312"/>
          <w:color w:val="auto"/>
          <w:szCs w:val="24"/>
        </w:rPr>
        <w:t>承诺书，详见附件5。</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说明:报名资料如无法查真，由投标人提供有效查询路径。</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hAnsi="仿宋_GB2312" w:eastAsia="仿宋_GB2312" w:cs="仿宋_GB2312"/>
          <w:color w:val="auto"/>
          <w:szCs w:val="24"/>
        </w:rPr>
        <w:t>在投标报名阶段，对投标人资质、业绩等投标资格进行严格的真实性核查;经核实存在资格证明材料造假或信息不实的，招标人将按照公司《物资供应商不良行为管理办法》</w:t>
      </w:r>
      <w:r>
        <w:rPr>
          <w:rFonts w:hint="eastAsia" w:ascii="仿宋_GB2312" w:eastAsia="仿宋_GB2312"/>
          <w:color w:val="auto"/>
          <w:szCs w:val="24"/>
        </w:rPr>
        <w:t>的规定进行处罚。</w:t>
      </w:r>
    </w:p>
    <w:p>
      <w:pPr>
        <w:pStyle w:val="4"/>
        <w:shd w:val="clear" w:color="auto" w:fill="FFFFFF"/>
        <w:spacing w:before="0" w:beforeAutospacing="0" w:after="0" w:afterAutospacing="0" w:line="520" w:lineRule="exact"/>
        <w:ind w:left="-142" w:right="-198" w:rightChars="-90" w:firstLine="598"/>
        <w:rPr>
          <w:rFonts w:ascii="仿宋_GB2312" w:hAnsi="仿宋_GB2312" w:eastAsia="仿宋_GB2312" w:cs="仿宋_GB2312"/>
          <w:color w:val="auto"/>
          <w:szCs w:val="24"/>
        </w:rPr>
      </w:pPr>
      <w:r>
        <w:rPr>
          <w:rFonts w:hint="eastAsia" w:ascii="仿宋_GB2312" w:eastAsia="仿宋_GB2312"/>
          <w:color w:val="auto"/>
          <w:szCs w:val="24"/>
        </w:rPr>
        <w:t xml:space="preserve">（12）以上所提供的资料，按标段制作、上传报名文件。  </w:t>
      </w:r>
      <w:r>
        <w:rPr>
          <w:rFonts w:hint="eastAsia" w:ascii="仿宋_GB2312" w:hAnsi="仿宋_GB2312" w:eastAsia="仿宋_GB2312" w:cs="仿宋_GB2312"/>
          <w:b/>
          <w:color w:val="auto"/>
          <w:szCs w:val="24"/>
        </w:rPr>
        <w:t xml:space="preserve"> </w:t>
      </w:r>
      <w:r>
        <w:rPr>
          <w:rFonts w:hint="eastAsia" w:ascii="仿宋_GB2312" w:hAnsi="仿宋_GB2312" w:eastAsia="仿宋_GB2312" w:cs="仿宋_GB2312"/>
          <w:b/>
          <w:szCs w:val="24"/>
        </w:rPr>
        <w:t xml:space="preserve">                                                                                                                                                                                                                                                                                                                                                                     </w:t>
      </w:r>
    </w:p>
    <w:p>
      <w:pPr>
        <w:pStyle w:val="4"/>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val="en-US" w:eastAsia="zh-CN"/>
        </w:rPr>
        <w:t>招标</w:t>
      </w:r>
      <w:r>
        <w:rPr>
          <w:rFonts w:hint="eastAsia" w:ascii="仿宋" w:hAnsi="仿宋" w:eastAsia="仿宋" w:cs="仿宋"/>
          <w:b/>
          <w:szCs w:val="24"/>
          <w:lang w:eastAsia="zh-CN"/>
        </w:rPr>
        <w:t>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1"/>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共有2次提交报名资料的机会。</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val="en-US" w:eastAsia="zh-CN"/>
        </w:rPr>
        <w:t>招标</w:t>
      </w:r>
      <w:r>
        <w:rPr>
          <w:rFonts w:hint="eastAsia" w:ascii="仿宋" w:hAnsi="仿宋" w:eastAsia="仿宋" w:cs="仿宋"/>
          <w:b/>
          <w:kern w:val="0"/>
          <w:sz w:val="24"/>
          <w:szCs w:val="24"/>
          <w:lang w:eastAsia="zh-CN"/>
        </w:rPr>
        <w:t>人</w:t>
      </w:r>
      <w:r>
        <w:rPr>
          <w:rFonts w:hint="eastAsia" w:ascii="仿宋" w:hAnsi="仿宋" w:eastAsia="仿宋" w:cs="仿宋"/>
          <w:b/>
          <w:kern w:val="0"/>
          <w:sz w:val="24"/>
          <w:szCs w:val="24"/>
        </w:rPr>
        <w:t>有权拒绝。</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ascii="仿宋_GB2312" w:hAnsi="仿宋_GB2312" w:eastAsia="仿宋_GB2312" w:cs="仿宋_GB2312"/>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资质等资格要求进行严格的真实性核查；经核实存在资格证明材料造假或信息不实的，招标人将按照公司《物资供应商不良行为管理办法》的规定进行处罚。</w:t>
      </w:r>
    </w:p>
    <w:p>
      <w:pPr>
        <w:pStyle w:val="3"/>
        <w:spacing w:after="0" w:line="520" w:lineRule="exact"/>
        <w:ind w:left="-5" w:right="-198" w:rightChars="-90"/>
        <w:rPr>
          <w:rFonts w:ascii="仿宋_GB2312" w:hAnsi="仿宋_GB2312" w:eastAsia="仿宋_GB2312" w:cs="仿宋_GB2312"/>
          <w:sz w:val="24"/>
          <w:szCs w:val="24"/>
        </w:rPr>
      </w:pPr>
      <w:bookmarkStart w:id="7" w:name="_Toc495645074"/>
      <w:bookmarkStart w:id="8" w:name="_Toc11424"/>
      <w:r>
        <w:rPr>
          <w:rFonts w:hint="eastAsia" w:ascii="仿宋_GB2312" w:hAnsi="仿宋_GB2312" w:eastAsia="仿宋_GB2312" w:cs="仿宋_GB2312"/>
          <w:b/>
          <w:sz w:val="24"/>
          <w:szCs w:val="24"/>
        </w:rPr>
        <w:t>5. 投标文件的递交</w:t>
      </w:r>
      <w:bookmarkEnd w:id="7"/>
      <w:bookmarkEnd w:id="8"/>
      <w:r>
        <w:rPr>
          <w:rFonts w:hint="eastAsia" w:ascii="仿宋_GB2312" w:hAnsi="仿宋_GB2312" w:eastAsia="仿宋_GB2312" w:cs="仿宋_GB2312"/>
          <w:b/>
          <w:sz w:val="24"/>
          <w:szCs w:val="24"/>
        </w:rPr>
        <w:t xml:space="preserve"> </w:t>
      </w:r>
    </w:p>
    <w:p>
      <w:pPr>
        <w:spacing w:after="0" w:line="520" w:lineRule="exact"/>
        <w:ind w:right="-198" w:rightChars="-90" w:firstLine="480" w:firstLineChars="200"/>
        <w:rPr>
          <w:rFonts w:ascii="仿宋_GB2312" w:hAnsi="仿宋_GB2312" w:eastAsia="仿宋_GB2312" w:cs="仿宋_GB2312"/>
          <w:sz w:val="24"/>
          <w:szCs w:val="24"/>
        </w:rPr>
      </w:pPr>
      <w:bookmarkStart w:id="9" w:name="_Toc21201"/>
      <w:r>
        <w:rPr>
          <w:rFonts w:hint="eastAsia" w:ascii="仿宋_GB2312" w:hAnsi="仿宋_GB2312" w:eastAsia="仿宋_GB2312" w:cs="仿宋_GB2312"/>
          <w:sz w:val="24"/>
          <w:szCs w:val="24"/>
        </w:rPr>
        <w:t>5.1本项目属于电子标，</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文件采用网上递交方式，</w:t>
      </w:r>
      <w:r>
        <w:rPr>
          <w:rFonts w:ascii="仿宋_GB2312" w:hAnsi="仿宋_GB2312" w:eastAsia="仿宋_GB2312" w:cs="仿宋_GB2312"/>
          <w:sz w:val="24"/>
          <w:szCs w:val="24"/>
        </w:rPr>
        <w:t>电子</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文件请于投标截止时间之前上传到“内蒙古电力集团电子</w:t>
      </w:r>
      <w:r>
        <w:rPr>
          <w:rFonts w:hint="eastAsia" w:ascii="仿宋_GB2312" w:hAnsi="仿宋_GB2312" w:eastAsia="仿宋_GB2312" w:cs="仿宋_GB2312"/>
          <w:sz w:val="24"/>
          <w:szCs w:val="24"/>
        </w:rPr>
        <w:t>采购</w:t>
      </w:r>
      <w:r>
        <w:rPr>
          <w:rFonts w:ascii="仿宋_GB2312" w:hAnsi="仿宋_GB2312" w:eastAsia="仿宋_GB2312" w:cs="仿宋_GB2312"/>
          <w:sz w:val="24"/>
          <w:szCs w:val="24"/>
        </w:rPr>
        <w:t>系统”，投标截止时间后上传的</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文件恕不接收。</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对网上递交的</w:t>
      </w:r>
      <w:r>
        <w:rPr>
          <w:rFonts w:hint="eastAsia" w:ascii="仿宋_GB2312" w:hAnsi="仿宋_GB2312" w:eastAsia="仿宋_GB2312" w:cs="仿宋_GB2312"/>
          <w:sz w:val="24"/>
          <w:szCs w:val="24"/>
          <w:lang w:val="en-US" w:eastAsia="zh-CN"/>
        </w:rPr>
        <w:t>投标文件</w:t>
      </w:r>
      <w:r>
        <w:rPr>
          <w:rFonts w:ascii="仿宋_GB2312" w:hAnsi="仿宋_GB2312" w:eastAsia="仿宋_GB2312" w:cs="仿宋_GB2312"/>
          <w:sz w:val="24"/>
          <w:szCs w:val="24"/>
        </w:rPr>
        <w:t>应加密。使用数字证书（CA）或登录【</w:t>
      </w:r>
      <w:r>
        <w:rPr>
          <w:rFonts w:hint="eastAsia" w:ascii="仿宋_GB2312" w:hAnsi="仿宋_GB2312" w:eastAsia="仿宋_GB2312" w:cs="仿宋_GB2312"/>
          <w:sz w:val="24"/>
          <w:szCs w:val="24"/>
        </w:rPr>
        <w:t>中招互连</w:t>
      </w:r>
      <w:r>
        <w:rPr>
          <w:rFonts w:ascii="仿宋_GB2312" w:hAnsi="仿宋_GB2312" w:eastAsia="仿宋_GB2312" w:cs="仿宋_GB2312"/>
          <w:sz w:val="24"/>
          <w:szCs w:val="24"/>
        </w:rPr>
        <w:t>】APP对</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w:t>
      </w:r>
      <w:r>
        <w:rPr>
          <w:rFonts w:ascii="仿宋_GB2312" w:hAnsi="仿宋_GB2312" w:eastAsia="仿宋_GB2312" w:cs="仿宋_GB2312"/>
          <w:sz w:val="24"/>
          <w:szCs w:val="24"/>
        </w:rPr>
        <w:t>进行加密功能（如果</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使用A手机号码对</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文件进行了扫码加密，必须需要使用A手机号码进行扫码解密，才能读取或导入</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w:t>
      </w:r>
    </w:p>
    <w:p>
      <w:pPr>
        <w:pStyle w:val="3"/>
        <w:spacing w:after="0" w:line="520" w:lineRule="exact"/>
        <w:ind w:left="0" w:right="-198" w:rightChars="-90" w:firstLine="0"/>
        <w:rPr>
          <w:rFonts w:ascii="仿宋_GB2312" w:hAnsi="仿宋_GB2312" w:eastAsia="仿宋_GB2312" w:cs="仿宋_GB2312"/>
          <w:b/>
          <w:sz w:val="24"/>
          <w:szCs w:val="24"/>
        </w:rPr>
      </w:pPr>
      <w:r>
        <w:rPr>
          <w:rFonts w:hint="eastAsia" w:ascii="仿宋_GB2312" w:hAnsi="仿宋_GB2312" w:eastAsia="仿宋_GB2312" w:cs="仿宋_GB2312"/>
          <w:b/>
          <w:sz w:val="24"/>
          <w:szCs w:val="24"/>
        </w:rPr>
        <w:t>6.资格审查</w:t>
      </w:r>
      <w:bookmarkEnd w:id="9"/>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本次招标采取资格后审方式，开标后由评标委员会统一进行资格审查，详见招标文件。资格审查时，投标人提供的资料不全或不合格的，均不能通过资格后审，其投标文件将被否决。</w:t>
      </w:r>
    </w:p>
    <w:p>
      <w:pPr>
        <w:pStyle w:val="3"/>
        <w:spacing w:after="0" w:line="520" w:lineRule="exact"/>
        <w:ind w:left="-5" w:right="-198" w:rightChars="-90"/>
        <w:rPr>
          <w:rFonts w:ascii="仿宋_GB2312" w:hAnsi="仿宋_GB2312" w:eastAsia="仿宋_GB2312" w:cs="仿宋_GB2312"/>
          <w:b/>
          <w:sz w:val="24"/>
          <w:szCs w:val="24"/>
        </w:rPr>
      </w:pPr>
      <w:bookmarkStart w:id="10" w:name="_Toc4184"/>
      <w:r>
        <w:rPr>
          <w:rFonts w:hint="eastAsia" w:ascii="仿宋_GB2312" w:hAnsi="仿宋_GB2312" w:eastAsia="仿宋_GB2312" w:cs="仿宋_GB2312"/>
          <w:b/>
          <w:sz w:val="24"/>
          <w:szCs w:val="24"/>
        </w:rPr>
        <w:t>7.截标及开标时间</w:t>
      </w:r>
      <w:bookmarkEnd w:id="10"/>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投标文件上传时间：202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29</w:t>
      </w:r>
      <w:r>
        <w:rPr>
          <w:rFonts w:hint="eastAsia" w:ascii="仿宋_GB2312" w:hAnsi="仿宋_GB2312" w:eastAsia="仿宋_GB2312" w:cs="仿宋_GB2312"/>
          <w:color w:val="auto"/>
          <w:sz w:val="24"/>
          <w:szCs w:val="24"/>
        </w:rPr>
        <w:t>日～202</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23</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投标截止时间：202</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23</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bookmarkStart w:id="11" w:name="_Toc8804"/>
      <w:r>
        <w:rPr>
          <w:rFonts w:hint="eastAsia" w:ascii="仿宋_GB2312" w:hAnsi="仿宋_GB2312" w:eastAsia="仿宋_GB2312" w:cs="仿宋_GB2312"/>
          <w:color w:val="auto"/>
          <w:sz w:val="24"/>
          <w:szCs w:val="24"/>
        </w:rPr>
        <w:t>商务技术</w:t>
      </w: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标开标时间：202</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23</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商务技术</w:t>
      </w: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标解密时间：202</w:t>
      </w: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23</w:t>
      </w:r>
      <w:r>
        <w:rPr>
          <w:rFonts w:hint="eastAsia" w:ascii="仿宋_GB2312" w:hAnsi="仿宋_GB2312" w:eastAsia="仿宋_GB2312" w:cs="仿宋_GB2312"/>
          <w:color w:val="auto"/>
          <w:sz w:val="24"/>
          <w:szCs w:val="24"/>
        </w:rPr>
        <w:t>日9:30～10:00</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8.解密方式及截标开标地点</w:t>
      </w:r>
      <w:bookmarkEnd w:id="11"/>
    </w:p>
    <w:p>
      <w:pPr>
        <w:spacing w:after="0" w:line="520" w:lineRule="exact"/>
        <w:ind w:right="-198" w:rightChars="-90" w:firstLine="420"/>
        <w:rPr>
          <w:rFonts w:ascii="仿宋_GB2312" w:hAnsi="仿宋_GB2312" w:eastAsia="仿宋_GB2312" w:cs="仿宋_GB2312"/>
          <w:color w:val="auto"/>
          <w:sz w:val="24"/>
          <w:szCs w:val="24"/>
        </w:rPr>
      </w:pPr>
      <w:bookmarkStart w:id="12" w:name="_Toc15241"/>
      <w:r>
        <w:rPr>
          <w:rFonts w:ascii="仿宋_GB2312" w:hAnsi="仿宋_GB2312" w:eastAsia="仿宋_GB2312" w:cs="仿宋_GB2312"/>
          <w:color w:val="auto"/>
          <w:sz w:val="24"/>
          <w:szCs w:val="24"/>
        </w:rPr>
        <w:t>电脑环境要求：</w:t>
      </w:r>
      <w:r>
        <w:rPr>
          <w:rFonts w:hint="eastAsia" w:ascii="仿宋_GB2312" w:hAnsi="仿宋_GB2312" w:eastAsia="仿宋_GB2312" w:cs="仿宋_GB2312"/>
          <w:color w:val="auto"/>
          <w:sz w:val="24"/>
          <w:szCs w:val="24"/>
        </w:rPr>
        <w:t>（1）操作系统：Windows 7 、10；（2）浏览器：360极速、谷歌Chrome、火狐Firefox、微软Edge浏览器；（3）办公软件：Microsoft Office 2007或WPS2019个人版；（4）PDF软件推荐： Adobe Reader</w:t>
      </w:r>
      <w:r>
        <w:rPr>
          <w:rFonts w:ascii="仿宋_GB2312" w:hAnsi="仿宋_GB2312" w:eastAsia="仿宋_GB2312" w:cs="仿宋_GB2312"/>
          <w:color w:val="auto"/>
          <w:sz w:val="24"/>
          <w:szCs w:val="24"/>
        </w:rPr>
        <w:t>。</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pPr>
        <w:spacing w:after="0" w:line="520" w:lineRule="exact"/>
        <w:ind w:right="-198" w:rightChars="-90" w:firstLine="42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val="en-US" w:eastAsia="zh-CN"/>
        </w:rPr>
        <w:t>投标</w:t>
      </w:r>
      <w:r>
        <w:rPr>
          <w:rFonts w:ascii="仿宋_GB2312" w:hAnsi="仿宋_GB2312" w:eastAsia="仿宋_GB2312" w:cs="仿宋_GB2312"/>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需保持电脑网络通畅）。</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pPr>
        <w:spacing w:after="0" w:line="520" w:lineRule="exact"/>
        <w:ind w:right="-198" w:rightChars="-90" w:firstLine="439" w:firstLineChars="183"/>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请</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按公告时间及时参与相关签到、解密及确认等工作，签到、解密及确认过程中有任何问题请及时联系技术支持解决（</w:t>
      </w:r>
      <w:r>
        <w:rPr>
          <w:rFonts w:hint="eastAsia" w:ascii="仿宋_GB2312" w:hAnsi="仿宋_GB2312" w:eastAsia="仿宋_GB2312" w:cs="仿宋_GB2312"/>
          <w:bCs/>
          <w:sz w:val="24"/>
          <w:szCs w:val="24"/>
        </w:rPr>
        <w:t>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r>
        <w:rPr>
          <w:rFonts w:hint="eastAsia" w:ascii="仿宋_GB2312" w:hAnsi="仿宋_GB2312" w:eastAsia="仿宋_GB2312" w:cs="仿宋_GB2312"/>
          <w:sz w:val="24"/>
          <w:szCs w:val="24"/>
          <w:highlight w:val="none"/>
        </w:rPr>
        <w:t>），因</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原因未在规定时间内解密、确认</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文件的，视为</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撤销其</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14:textFill>
            <w14:solidFill>
              <w14:schemeClr w14:val="tx1"/>
            </w14:solidFill>
          </w14:textFill>
        </w:rPr>
        <w:t>开标地点：</w:t>
      </w:r>
      <w:r>
        <w:rPr>
          <w:rFonts w:hint="eastAsia" w:ascii="仿宋" w:hAnsi="仿宋" w:eastAsia="仿宋" w:cs="仿宋_GB2312"/>
          <w:color w:val="auto"/>
          <w:sz w:val="24"/>
          <w:szCs w:val="24"/>
        </w:rPr>
        <w:t>内蒙古电子招标投标交易平台（巴彦淖尔）</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详细地址：</w:t>
      </w:r>
      <w:r>
        <w:rPr>
          <w:rFonts w:hint="eastAsia" w:ascii="仿宋" w:hAnsi="仿宋" w:eastAsia="仿宋" w:cs="仿宋_GB2312"/>
          <w:color w:val="auto"/>
          <w:sz w:val="24"/>
          <w:szCs w:val="24"/>
        </w:rPr>
        <w:t>内蒙古巴彦淖尔市临河区胜利路18号蓝宇饭店7楼开标室</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如果截标或开标时间及地点有改变，招标机构将提前通知，逾期提交的投标文件将不予受理。</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9.招标费用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bookmarkStart w:id="13" w:name="_Toc495645075"/>
      <w:bookmarkStart w:id="14" w:name="_Toc13484"/>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平台使用费：本项目采用全流程电子招投标，每标段每家</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需上传</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中标服务费：中标服务费由</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支付，</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须向</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代理机构按如下标准和规定交纳中标服务费。</w:t>
      </w:r>
    </w:p>
    <w:p>
      <w:pPr>
        <w:pageBreakBefore w:val="0"/>
        <w:numPr>
          <w:ilvl w:val="0"/>
          <w:numId w:val="2"/>
        </w:numPr>
        <w:kinsoku/>
        <w:wordWrap/>
        <w:overflowPunct/>
        <w:topLinePunct w:val="0"/>
        <w:bidi w:val="0"/>
        <w:snapToGrid/>
        <w:spacing w:after="0" w:line="520" w:lineRule="exact"/>
        <w:ind w:right="-198" w:rightChars="-90" w:firstLine="360" w:firstLineChars="150"/>
        <w:textAlignment w:val="auto"/>
      </w:pP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服务费金额：以</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价为基数，参照内蒙古自治区工程建设协会《关于印发内蒙古自治区工程建设采购代理服务收费指导意见的通知》（内工建协</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rPr>
        <w:t>20</w:t>
      </w:r>
      <w:r>
        <w:rPr>
          <w:rFonts w:hint="eastAsia" w:ascii="仿宋_GB2312" w:hAnsi="仿宋_GB2312" w:eastAsia="仿宋_GB2312" w:cs="仿宋_GB2312"/>
          <w:sz w:val="24"/>
          <w:szCs w:val="24"/>
          <w:highlight w:val="none"/>
          <w:lang w:val="en-US" w:eastAsia="zh-CN"/>
        </w:rPr>
        <w:t>22</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号）文件规定的标准收费。中标服务费=按本指导标准计算收费*折扣率，其中，折扣率为92%</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详见</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文件附件1；</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（2）中标服务费支付方式：</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完成，发出</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通知书前一次性支付。</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（3）中标服务费交纳形式：电汇、银行转账、现金均可。</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中标服务费汇款账户：</w:t>
      </w:r>
      <w:r>
        <w:rPr>
          <w:rFonts w:ascii="仿宋" w:hAnsi="仿宋" w:eastAsia="仿宋" w:cs="仿宋_GB2312"/>
          <w:b/>
          <w:color w:val="auto"/>
          <w:sz w:val="24"/>
          <w:szCs w:val="24"/>
        </w:rPr>
        <w:t xml:space="preserve"> </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开户行：中国建设银行北京丰岳支行</w:t>
      </w:r>
    </w:p>
    <w:p>
      <w:pPr>
        <w:spacing w:line="520" w:lineRule="exact"/>
        <w:ind w:right="103" w:firstLine="600" w:firstLineChars="249"/>
        <w:rPr>
          <w:rFonts w:ascii="仿宋" w:hAnsi="仿宋" w:eastAsia="仿宋" w:cs="仿宋_GB2312"/>
          <w:b/>
          <w:color w:val="auto"/>
          <w:sz w:val="24"/>
          <w:szCs w:val="24"/>
        </w:rPr>
      </w:pPr>
      <w:r>
        <w:rPr>
          <w:rFonts w:hint="eastAsia" w:ascii="仿宋" w:hAnsi="仿宋" w:eastAsia="仿宋" w:cs="仿宋_GB2312"/>
          <w:b/>
          <w:color w:val="auto"/>
          <w:sz w:val="24"/>
          <w:szCs w:val="24"/>
        </w:rPr>
        <w:t>帐  号：11050165530000000040</w:t>
      </w:r>
    </w:p>
    <w:p>
      <w:pPr>
        <w:spacing w:line="520" w:lineRule="exact"/>
        <w:ind w:right="103" w:firstLine="600" w:firstLineChars="249"/>
        <w:rPr>
          <w:b/>
          <w:bCs/>
        </w:rPr>
      </w:pPr>
      <w:r>
        <w:rPr>
          <w:rFonts w:hint="eastAsia" w:ascii="仿宋" w:hAnsi="仿宋" w:eastAsia="仿宋" w:cs="仿宋_GB2312"/>
          <w:b/>
          <w:color w:val="auto"/>
          <w:sz w:val="24"/>
          <w:szCs w:val="24"/>
        </w:rPr>
        <w:t>户  名：北京市建壮咨询有限公司</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 发布公告的媒介</w:t>
      </w:r>
      <w:bookmarkEnd w:id="13"/>
      <w:bookmarkEnd w:id="14"/>
      <w:r>
        <w:rPr>
          <w:rFonts w:hint="eastAsia" w:ascii="仿宋_GB2312" w:hAnsi="仿宋_GB2312" w:eastAsia="仿宋_GB2312" w:cs="仿宋_GB2312"/>
          <w:b/>
          <w:color w:val="auto"/>
          <w:sz w:val="24"/>
          <w:szCs w:val="24"/>
        </w:rPr>
        <w:t xml:space="preserve"> </w:t>
      </w:r>
    </w:p>
    <w:p>
      <w:pPr>
        <w:spacing w:after="0" w:line="520" w:lineRule="exact"/>
        <w:ind w:right="-198" w:rightChars="-90" w:firstLine="420"/>
        <w:rPr>
          <w:rFonts w:ascii="仿宋_GB2312" w:hAnsi="仿宋_GB2312" w:eastAsia="仿宋_GB2312" w:cs="仿宋_GB2312"/>
          <w:b/>
          <w:bCs/>
          <w:color w:val="auto"/>
          <w:sz w:val="24"/>
          <w:szCs w:val="24"/>
        </w:rPr>
      </w:pPr>
      <w:r>
        <w:rPr>
          <w:rFonts w:hint="eastAsia" w:ascii="仿宋_GB2312" w:hAnsi="仿宋_GB2312" w:eastAsia="仿宋_GB2312" w:cs="仿宋_GB2312"/>
          <w:sz w:val="24"/>
          <w:szCs w:val="24"/>
        </w:rPr>
        <w:t>本次招标公告同时在</w:t>
      </w:r>
      <w:r>
        <w:rPr>
          <w:rFonts w:hint="eastAsia" w:ascii="仿宋_GB2312" w:hAnsi="仿宋_GB2312" w:eastAsia="仿宋_GB2312" w:cs="仿宋_GB2312"/>
          <w:color w:val="auto"/>
          <w:sz w:val="24"/>
          <w:szCs w:val="24"/>
        </w:rPr>
        <w:t>中国招标投标公共服务平台（www.cebpubservice.com）、内蒙古招标投标公共服务平台（http://zbgg.nmgztb.com.cn）、内蒙古电力集团电子采购系统（http://guocai-impc.cppchina.cn）上发布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sz w:val="24"/>
          <w:szCs w:val="24"/>
        </w:rPr>
        <w:t>其它媒介转发无效。</w:t>
      </w:r>
      <w:r>
        <w:rPr>
          <w:rFonts w:hint="eastAsia" w:ascii="仿宋_GB2312" w:hAnsi="仿宋_GB2312" w:eastAsia="仿宋_GB2312" w:cs="仿宋_GB2312"/>
          <w:color w:val="auto"/>
          <w:sz w:val="24"/>
          <w:szCs w:val="24"/>
        </w:rPr>
        <w:t xml:space="preserve"> </w:t>
      </w:r>
    </w:p>
    <w:p>
      <w:pPr>
        <w:spacing w:after="0" w:line="520" w:lineRule="exact"/>
        <w:ind w:right="-198"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 标 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招标代理机构：北京市建壮咨询有限公司 </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人：张春辉、陈艳杰</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w:t>
      </w:r>
      <w:r>
        <w:rPr>
          <w:rFonts w:hint="eastAsia" w:ascii="仿宋" w:hAnsi="仿宋" w:eastAsia="仿宋" w:cs="仿宋"/>
          <w:color w:val="auto"/>
          <w:sz w:val="24"/>
          <w:szCs w:val="24"/>
          <w:lang w:val="en-US" w:eastAsia="zh-CN"/>
        </w:rPr>
        <w:fldChar w:fldCharType="begin"/>
      </w:r>
      <w:r>
        <w:rPr>
          <w:rFonts w:hint="eastAsia" w:ascii="仿宋" w:hAnsi="仿宋" w:eastAsia="仿宋" w:cs="仿宋"/>
          <w:color w:val="auto"/>
          <w:sz w:val="24"/>
          <w:szCs w:val="24"/>
          <w:lang w:val="en-US" w:eastAsia="zh-CN"/>
        </w:rPr>
        <w:instrText xml:space="preserve"> HYPERLINK "mailto:nmgzyxt@126.com" </w:instrText>
      </w:r>
      <w:r>
        <w:rPr>
          <w:rFonts w:hint="eastAsia" w:ascii="仿宋" w:hAnsi="仿宋" w:eastAsia="仿宋" w:cs="仿宋"/>
          <w:color w:val="auto"/>
          <w:sz w:val="24"/>
          <w:szCs w:val="24"/>
          <w:lang w:val="en-US" w:eastAsia="zh-CN"/>
        </w:rPr>
        <w:fldChar w:fldCharType="separate"/>
      </w:r>
      <w:r>
        <w:rPr>
          <w:rFonts w:hint="eastAsia" w:ascii="仿宋" w:hAnsi="仿宋" w:eastAsia="仿宋" w:cs="仿宋"/>
          <w:color w:val="auto"/>
          <w:sz w:val="24"/>
          <w:szCs w:val="24"/>
          <w:lang w:val="en-US" w:eastAsia="zh-CN"/>
        </w:rPr>
        <w:t>664502158@qq.com</w:t>
      </w:r>
      <w:r>
        <w:rPr>
          <w:rFonts w:hint="eastAsia" w:ascii="仿宋" w:hAnsi="仿宋" w:eastAsia="仿宋" w:cs="仿宋"/>
          <w:color w:val="auto"/>
          <w:sz w:val="24"/>
          <w:szCs w:val="24"/>
          <w:lang w:val="en-US" w:eastAsia="zh-CN"/>
        </w:rPr>
        <w:fldChar w:fldCharType="end"/>
      </w:r>
    </w:p>
    <w:p>
      <w:pPr>
        <w:spacing w:after="0" w:line="520" w:lineRule="exact"/>
        <w:ind w:right="-198" w:rightChars="-90" w:firstLine="420"/>
        <w:rPr>
          <w:rFonts w:hint="eastAsia" w:ascii="仿宋" w:hAnsi="仿宋" w:eastAsia="仿宋" w:cs="仿宋"/>
          <w:color w:val="auto"/>
          <w:sz w:val="24"/>
          <w:szCs w:val="24"/>
          <w:lang w:val="en-US" w:eastAsia="zh-CN"/>
        </w:rPr>
      </w:pPr>
    </w:p>
    <w:sectPr>
      <w:pgSz w:w="11906" w:h="16838"/>
      <w:pgMar w:top="1440" w:right="1532" w:bottom="1440" w:left="135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747B0"/>
    <w:multiLevelType w:val="singleLevel"/>
    <w:tmpl w:val="3F6747B0"/>
    <w:lvl w:ilvl="0" w:tentative="0">
      <w:start w:val="1"/>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1"/>
    <w:lvlOverride w:ilvl="0">
      <w:startOverride w:val="2"/>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0B9263C"/>
    <w:rsid w:val="00F44F67"/>
    <w:rsid w:val="00FF56BA"/>
    <w:rsid w:val="01423F24"/>
    <w:rsid w:val="01A71FD9"/>
    <w:rsid w:val="035717DD"/>
    <w:rsid w:val="03B44E81"/>
    <w:rsid w:val="04966335"/>
    <w:rsid w:val="05E4614D"/>
    <w:rsid w:val="066D0E5F"/>
    <w:rsid w:val="07D94EB6"/>
    <w:rsid w:val="08510EF1"/>
    <w:rsid w:val="09151F1E"/>
    <w:rsid w:val="0958005D"/>
    <w:rsid w:val="09664528"/>
    <w:rsid w:val="0AA23C86"/>
    <w:rsid w:val="0AF12517"/>
    <w:rsid w:val="0C2F32F7"/>
    <w:rsid w:val="0CAE6C6A"/>
    <w:rsid w:val="0CE2480D"/>
    <w:rsid w:val="0CFD0F4B"/>
    <w:rsid w:val="0DDA3736"/>
    <w:rsid w:val="0DDE10ED"/>
    <w:rsid w:val="0DE87C01"/>
    <w:rsid w:val="0DF04D08"/>
    <w:rsid w:val="0E76520D"/>
    <w:rsid w:val="0F16079E"/>
    <w:rsid w:val="0F24110D"/>
    <w:rsid w:val="12C2328F"/>
    <w:rsid w:val="12E12E71"/>
    <w:rsid w:val="13D50C28"/>
    <w:rsid w:val="13EB21F9"/>
    <w:rsid w:val="14721907"/>
    <w:rsid w:val="16493207"/>
    <w:rsid w:val="16E15B36"/>
    <w:rsid w:val="17AE06AD"/>
    <w:rsid w:val="19632832"/>
    <w:rsid w:val="197D2182"/>
    <w:rsid w:val="1A197394"/>
    <w:rsid w:val="1A944BF5"/>
    <w:rsid w:val="1ADE4FB3"/>
    <w:rsid w:val="1ADF05DE"/>
    <w:rsid w:val="1AEB6F83"/>
    <w:rsid w:val="1DB775F0"/>
    <w:rsid w:val="1E0839A8"/>
    <w:rsid w:val="1EE77A61"/>
    <w:rsid w:val="1F770DE5"/>
    <w:rsid w:val="1F890B18"/>
    <w:rsid w:val="20541126"/>
    <w:rsid w:val="20564E9E"/>
    <w:rsid w:val="20F326ED"/>
    <w:rsid w:val="21052421"/>
    <w:rsid w:val="21D85151"/>
    <w:rsid w:val="21E464DA"/>
    <w:rsid w:val="228757E3"/>
    <w:rsid w:val="23577D98"/>
    <w:rsid w:val="247022A7"/>
    <w:rsid w:val="24C43A4E"/>
    <w:rsid w:val="24F133E8"/>
    <w:rsid w:val="25453733"/>
    <w:rsid w:val="25504559"/>
    <w:rsid w:val="265C6F87"/>
    <w:rsid w:val="299B6018"/>
    <w:rsid w:val="2A571F3F"/>
    <w:rsid w:val="2AB23619"/>
    <w:rsid w:val="2C22032B"/>
    <w:rsid w:val="2C3B042C"/>
    <w:rsid w:val="2D26209C"/>
    <w:rsid w:val="2D9214E0"/>
    <w:rsid w:val="2EFC1307"/>
    <w:rsid w:val="2F3565C7"/>
    <w:rsid w:val="2F78360E"/>
    <w:rsid w:val="2F8F3F5D"/>
    <w:rsid w:val="2F974B8C"/>
    <w:rsid w:val="2FDA7FC6"/>
    <w:rsid w:val="3083092C"/>
    <w:rsid w:val="30B359F5"/>
    <w:rsid w:val="30B874AF"/>
    <w:rsid w:val="30F229C1"/>
    <w:rsid w:val="3115045E"/>
    <w:rsid w:val="33095DA0"/>
    <w:rsid w:val="33843679"/>
    <w:rsid w:val="347656B7"/>
    <w:rsid w:val="34B63D06"/>
    <w:rsid w:val="36154A5C"/>
    <w:rsid w:val="371B42F4"/>
    <w:rsid w:val="37557806"/>
    <w:rsid w:val="37A12A4B"/>
    <w:rsid w:val="37BD197A"/>
    <w:rsid w:val="38991974"/>
    <w:rsid w:val="38B844F1"/>
    <w:rsid w:val="38E2156D"/>
    <w:rsid w:val="39A44A75"/>
    <w:rsid w:val="39B9672D"/>
    <w:rsid w:val="39E906DA"/>
    <w:rsid w:val="3A72247D"/>
    <w:rsid w:val="3B9D79CE"/>
    <w:rsid w:val="3C97441D"/>
    <w:rsid w:val="3CBE5B1E"/>
    <w:rsid w:val="3D123443"/>
    <w:rsid w:val="3D736C38"/>
    <w:rsid w:val="3E950E30"/>
    <w:rsid w:val="3EB63280"/>
    <w:rsid w:val="3F47037C"/>
    <w:rsid w:val="4021297B"/>
    <w:rsid w:val="405C39B3"/>
    <w:rsid w:val="40E816EB"/>
    <w:rsid w:val="40FC6F44"/>
    <w:rsid w:val="42B775C7"/>
    <w:rsid w:val="43010842"/>
    <w:rsid w:val="44760DBC"/>
    <w:rsid w:val="450F36EA"/>
    <w:rsid w:val="45AA6F6F"/>
    <w:rsid w:val="46AB11F1"/>
    <w:rsid w:val="46EE10DD"/>
    <w:rsid w:val="46EE732F"/>
    <w:rsid w:val="46FA3F26"/>
    <w:rsid w:val="477F6E34"/>
    <w:rsid w:val="47A619B8"/>
    <w:rsid w:val="47CD33E9"/>
    <w:rsid w:val="49E9587A"/>
    <w:rsid w:val="4A3459A1"/>
    <w:rsid w:val="4A985F30"/>
    <w:rsid w:val="4AF3760A"/>
    <w:rsid w:val="4C4B0D80"/>
    <w:rsid w:val="4C5E0AB3"/>
    <w:rsid w:val="4CD843E4"/>
    <w:rsid w:val="4DA846DC"/>
    <w:rsid w:val="4DD454D1"/>
    <w:rsid w:val="4DF55447"/>
    <w:rsid w:val="4E816CDB"/>
    <w:rsid w:val="517D19DC"/>
    <w:rsid w:val="51D14005"/>
    <w:rsid w:val="52263E21"/>
    <w:rsid w:val="5701451D"/>
    <w:rsid w:val="57D60097"/>
    <w:rsid w:val="57FE314A"/>
    <w:rsid w:val="58256929"/>
    <w:rsid w:val="58296419"/>
    <w:rsid w:val="586B1D57"/>
    <w:rsid w:val="58BE3005"/>
    <w:rsid w:val="58D04AE7"/>
    <w:rsid w:val="5A1629CD"/>
    <w:rsid w:val="5A407A4A"/>
    <w:rsid w:val="5A743309"/>
    <w:rsid w:val="5B1D6A00"/>
    <w:rsid w:val="5B4E0E1E"/>
    <w:rsid w:val="5CFE60C6"/>
    <w:rsid w:val="5D5A52C7"/>
    <w:rsid w:val="5D731EE5"/>
    <w:rsid w:val="5E322293"/>
    <w:rsid w:val="5F6E6E08"/>
    <w:rsid w:val="5F7E4DC7"/>
    <w:rsid w:val="62165C60"/>
    <w:rsid w:val="644D348F"/>
    <w:rsid w:val="64E04304"/>
    <w:rsid w:val="64F06F7C"/>
    <w:rsid w:val="662B7800"/>
    <w:rsid w:val="668F7D8F"/>
    <w:rsid w:val="67947F79"/>
    <w:rsid w:val="67B81568"/>
    <w:rsid w:val="6862782F"/>
    <w:rsid w:val="69C064B2"/>
    <w:rsid w:val="69F60125"/>
    <w:rsid w:val="6A813E93"/>
    <w:rsid w:val="6AC9591D"/>
    <w:rsid w:val="6B5B2936"/>
    <w:rsid w:val="6B673089"/>
    <w:rsid w:val="6C276CBC"/>
    <w:rsid w:val="6C6B6BA9"/>
    <w:rsid w:val="6CD46C3D"/>
    <w:rsid w:val="6CF46B9E"/>
    <w:rsid w:val="6D21370B"/>
    <w:rsid w:val="6E00748F"/>
    <w:rsid w:val="6EBC193D"/>
    <w:rsid w:val="6FD40F09"/>
    <w:rsid w:val="6FDE58E3"/>
    <w:rsid w:val="70057314"/>
    <w:rsid w:val="73B2330F"/>
    <w:rsid w:val="741B0EB4"/>
    <w:rsid w:val="742F206A"/>
    <w:rsid w:val="766A386A"/>
    <w:rsid w:val="76A50F09"/>
    <w:rsid w:val="774B7D02"/>
    <w:rsid w:val="779C10E5"/>
    <w:rsid w:val="77F4204E"/>
    <w:rsid w:val="78375A8C"/>
    <w:rsid w:val="78B95140"/>
    <w:rsid w:val="7924080B"/>
    <w:rsid w:val="79B871A5"/>
    <w:rsid w:val="7A4153ED"/>
    <w:rsid w:val="7AD1051F"/>
    <w:rsid w:val="7ADB139D"/>
    <w:rsid w:val="7BBF2A6D"/>
    <w:rsid w:val="7CD2057E"/>
    <w:rsid w:val="7CD51E1C"/>
    <w:rsid w:val="7CEF7382"/>
    <w:rsid w:val="7EF649F8"/>
    <w:rsid w:val="7F42696A"/>
    <w:rsid w:val="7FB472A6"/>
    <w:rsid w:val="7FCA19E0"/>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autoRedefine/>
    <w:unhideWhenUsed/>
    <w:qFormat/>
    <w:uiPriority w:val="0"/>
    <w:pPr>
      <w:keepNext/>
      <w:keepLines/>
      <w:spacing w:after="503" w:line="265" w:lineRule="auto"/>
      <w:ind w:left="10" w:right="56" w:hanging="10"/>
      <w:outlineLvl w:val="1"/>
    </w:pPr>
    <w:rPr>
      <w:rFonts w:ascii="黑体" w:hAnsi="黑体" w:eastAsia="黑体" w:cs="黑体"/>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无间隔1"/>
    <w:autoRedefine/>
    <w:qFormat/>
    <w:uiPriority w:val="0"/>
    <w:rPr>
      <w:rFonts w:ascii="Times New Roman" w:hAnsi="Times New Roman" w:eastAsia="宋体" w:cs="Times New Roman"/>
      <w:sz w:val="22"/>
      <w:szCs w:val="22"/>
      <w:lang w:val="en-US" w:eastAsia="zh-CN" w:bidi="ar-SA"/>
    </w:rPr>
  </w:style>
  <w:style w:type="paragraph" w:styleId="4">
    <w:name w:val="Normal (Web)"/>
    <w:basedOn w:val="1"/>
    <w:autoRedefine/>
    <w:unhideWhenUsed/>
    <w:qFormat/>
    <w:uiPriority w:val="99"/>
    <w:pPr>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2023-10-16T03:00:00Z</dcterms:created>
  <dc:creator>Administrator</dc:creator>
  <cp:lastModifiedBy> 木木 </cp:lastModifiedBy>
  <dcterms:modified xsi:type="dcterms:W3CDTF">2023-12-29T06:38:32Z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7A34B705481D4CAC96BB868DD7C8DC87_12</vt:lpwstr>
  </property>
</Properties>
</file>